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4EE" w:rsidRPr="00D51320" w:rsidRDefault="00EF14EE" w:rsidP="00EF14EE">
      <w:pPr>
        <w:pStyle w:val="ListParagraph"/>
        <w:numPr>
          <w:ilvl w:val="0"/>
          <w:numId w:val="1"/>
        </w:numPr>
        <w:jc w:val="both"/>
        <w:rPr>
          <w:rStyle w:val="noprint"/>
          <w:rFonts w:cstheme="majorBidi"/>
          <w:b/>
          <w:bCs/>
          <w:sz w:val="32"/>
          <w:szCs w:val="32"/>
        </w:rPr>
      </w:pPr>
      <w:r w:rsidRPr="00D51320">
        <w:rPr>
          <w:rStyle w:val="noprint"/>
          <w:rFonts w:cstheme="majorBidi"/>
          <w:b/>
          <w:bCs/>
          <w:sz w:val="32"/>
          <w:szCs w:val="32"/>
          <w:rtl/>
        </w:rPr>
        <w:t>מחלוקת רבינו תם ורבינו אליהו</w:t>
      </w:r>
    </w:p>
    <w:p w:rsidR="00EF14EE" w:rsidRPr="00D51320" w:rsidRDefault="00EF14EE" w:rsidP="00EF14EE">
      <w:pPr>
        <w:jc w:val="both"/>
        <w:rPr>
          <w:rStyle w:val="noprint"/>
          <w:rFonts w:cstheme="majorBidi"/>
          <w:b/>
          <w:bCs/>
          <w:sz w:val="32"/>
          <w:szCs w:val="32"/>
          <w:rtl/>
        </w:rPr>
      </w:pPr>
      <w:r w:rsidRPr="00D51320">
        <w:rPr>
          <w:rStyle w:val="noprint"/>
          <w:rFonts w:cstheme="majorBidi"/>
          <w:b/>
          <w:bCs/>
          <w:sz w:val="32"/>
          <w:szCs w:val="32"/>
          <w:rtl/>
        </w:rPr>
        <w:t xml:space="preserve">דברים פרק ו' </w:t>
      </w:r>
    </w:p>
    <w:p w:rsidR="00EF14EE" w:rsidRPr="00D51320" w:rsidRDefault="00EF14EE" w:rsidP="00EF14EE">
      <w:pPr>
        <w:jc w:val="both"/>
        <w:rPr>
          <w:rStyle w:val="noprint"/>
          <w:rFonts w:cstheme="majorBidi"/>
          <w:sz w:val="32"/>
          <w:szCs w:val="32"/>
          <w:rtl/>
        </w:rPr>
      </w:pPr>
      <w:r w:rsidRPr="00D51320">
        <w:rPr>
          <w:rStyle w:val="noprint"/>
          <w:rFonts w:cstheme="majorBidi"/>
          <w:sz w:val="32"/>
          <w:szCs w:val="32"/>
          <w:rtl/>
        </w:rPr>
        <w:t xml:space="preserve">וקשרתם לאות על ידך והיו לטטפת בין עיניך. </w:t>
      </w:r>
    </w:p>
    <w:p w:rsidR="00EF14EE" w:rsidRPr="00D51320" w:rsidRDefault="00EF14EE" w:rsidP="00EF14EE">
      <w:pPr>
        <w:jc w:val="both"/>
        <w:rPr>
          <w:rStyle w:val="noprint"/>
          <w:rFonts w:cstheme="majorBidi"/>
          <w:b/>
          <w:bCs/>
          <w:sz w:val="32"/>
          <w:szCs w:val="32"/>
          <w:rtl/>
        </w:rPr>
      </w:pPr>
      <w:r w:rsidRPr="00D51320">
        <w:rPr>
          <w:rStyle w:val="noprint"/>
          <w:rFonts w:cstheme="majorBidi"/>
          <w:b/>
          <w:bCs/>
          <w:sz w:val="32"/>
          <w:szCs w:val="32"/>
          <w:rtl/>
        </w:rPr>
        <w:t>מנחות דף ל"ה</w:t>
      </w:r>
    </w:p>
    <w:p w:rsidR="00EF14EE" w:rsidRPr="00D51320" w:rsidRDefault="00EF14EE" w:rsidP="00EF14EE">
      <w:pPr>
        <w:jc w:val="both"/>
        <w:rPr>
          <w:rStyle w:val="noprint"/>
          <w:rFonts w:cstheme="majorBidi"/>
          <w:sz w:val="32"/>
          <w:szCs w:val="32"/>
          <w:rtl/>
        </w:rPr>
      </w:pPr>
      <w:r w:rsidRPr="00D51320">
        <w:rPr>
          <w:rStyle w:val="noprint"/>
          <w:rFonts w:cstheme="majorBidi"/>
          <w:sz w:val="32"/>
          <w:szCs w:val="32"/>
          <w:rtl/>
        </w:rPr>
        <w:t>אמר שמואל</w:t>
      </w:r>
      <w:r w:rsidRPr="00D51320">
        <w:rPr>
          <w:rStyle w:val="noprint"/>
          <w:rFonts w:cstheme="majorBidi"/>
          <w:sz w:val="32"/>
          <w:szCs w:val="32"/>
        </w:rPr>
        <w:t>:</w:t>
      </w:r>
      <w:r w:rsidRPr="00D51320">
        <w:rPr>
          <w:rStyle w:val="noprint"/>
          <w:rFonts w:cstheme="majorBidi"/>
          <w:sz w:val="32"/>
          <w:szCs w:val="32"/>
          <w:rtl/>
        </w:rPr>
        <w:t xml:space="preserve"> תפילין מאימתי מברך עליהן</w:t>
      </w:r>
      <w:r w:rsidRPr="00D51320">
        <w:rPr>
          <w:rStyle w:val="noprint"/>
          <w:rFonts w:cstheme="majorBidi"/>
          <w:sz w:val="32"/>
          <w:szCs w:val="32"/>
        </w:rPr>
        <w:t>?</w:t>
      </w:r>
      <w:r w:rsidRPr="00D51320">
        <w:rPr>
          <w:rStyle w:val="noprint"/>
          <w:rFonts w:cstheme="majorBidi"/>
          <w:sz w:val="32"/>
          <w:szCs w:val="32"/>
          <w:rtl/>
        </w:rPr>
        <w:t xml:space="preserve"> משעת הנחתן</w:t>
      </w:r>
      <w:r w:rsidRPr="00D51320">
        <w:rPr>
          <w:rStyle w:val="noprint"/>
          <w:rFonts w:cstheme="majorBidi"/>
          <w:sz w:val="32"/>
          <w:szCs w:val="32"/>
        </w:rPr>
        <w:t>.</w:t>
      </w:r>
      <w:r w:rsidRPr="00D51320">
        <w:rPr>
          <w:rStyle w:val="noprint"/>
          <w:rFonts w:cstheme="majorBidi"/>
          <w:sz w:val="32"/>
          <w:szCs w:val="32"/>
          <w:rtl/>
        </w:rPr>
        <w:t xml:space="preserve"> איני</w:t>
      </w:r>
      <w:r w:rsidRPr="00D51320">
        <w:rPr>
          <w:rStyle w:val="noprint"/>
          <w:rFonts w:cstheme="majorBidi"/>
          <w:sz w:val="32"/>
          <w:szCs w:val="32"/>
        </w:rPr>
        <w:t>?</w:t>
      </w:r>
      <w:r w:rsidRPr="00D51320">
        <w:rPr>
          <w:rStyle w:val="noprint"/>
          <w:rFonts w:cstheme="majorBidi"/>
          <w:sz w:val="32"/>
          <w:szCs w:val="32"/>
          <w:rtl/>
        </w:rPr>
        <w:t xml:space="preserve"> והא אמר רב יהודה אמר שמואל</w:t>
      </w:r>
      <w:r w:rsidRPr="00D51320">
        <w:rPr>
          <w:rStyle w:val="noprint"/>
          <w:rFonts w:cstheme="majorBidi"/>
          <w:sz w:val="32"/>
          <w:szCs w:val="32"/>
        </w:rPr>
        <w:t>:</w:t>
      </w:r>
      <w:r w:rsidRPr="00D51320">
        <w:rPr>
          <w:rStyle w:val="noprint"/>
          <w:rFonts w:cstheme="majorBidi"/>
          <w:sz w:val="32"/>
          <w:szCs w:val="32"/>
          <w:rtl/>
        </w:rPr>
        <w:t xml:space="preserve"> כל המצות כולן מברך עליהן עובר לעשייתן</w:t>
      </w:r>
      <w:r w:rsidRPr="00D51320">
        <w:rPr>
          <w:rStyle w:val="noprint"/>
          <w:rFonts w:cstheme="majorBidi"/>
          <w:sz w:val="32"/>
          <w:szCs w:val="32"/>
        </w:rPr>
        <w:t>!</w:t>
      </w:r>
      <w:r w:rsidRPr="00D51320">
        <w:rPr>
          <w:rStyle w:val="noprint"/>
          <w:rFonts w:cstheme="majorBidi"/>
          <w:sz w:val="32"/>
          <w:szCs w:val="32"/>
          <w:rtl/>
        </w:rPr>
        <w:t xml:space="preserve"> אביי ורבא דאמרי תרוייהו</w:t>
      </w:r>
      <w:r w:rsidRPr="00D51320">
        <w:rPr>
          <w:rStyle w:val="noprint"/>
          <w:rFonts w:cstheme="majorBidi"/>
          <w:sz w:val="32"/>
          <w:szCs w:val="32"/>
        </w:rPr>
        <w:t>:</w:t>
      </w:r>
      <w:r w:rsidRPr="00D51320">
        <w:rPr>
          <w:rStyle w:val="noprint"/>
          <w:rFonts w:cstheme="majorBidi"/>
          <w:sz w:val="32"/>
          <w:szCs w:val="32"/>
          <w:rtl/>
        </w:rPr>
        <w:t xml:space="preserve"> משעת </w:t>
      </w:r>
      <w:hyperlink r:id="rId7" w:history="1">
        <w:r w:rsidRPr="00D51320">
          <w:rPr>
            <w:rStyle w:val="Hyperlink"/>
            <w:rFonts w:cstheme="majorBidi"/>
            <w:sz w:val="32"/>
            <w:szCs w:val="32"/>
            <w:rtl/>
          </w:rPr>
          <w:t>הנחה</w:t>
        </w:r>
      </w:hyperlink>
      <w:r w:rsidRPr="00D51320">
        <w:rPr>
          <w:rStyle w:val="noprint"/>
          <w:rFonts w:cstheme="majorBidi"/>
          <w:sz w:val="32"/>
          <w:szCs w:val="32"/>
          <w:rtl/>
        </w:rPr>
        <w:t xml:space="preserve"> ועד שעת קשירה</w:t>
      </w:r>
      <w:r w:rsidRPr="00D51320">
        <w:rPr>
          <w:rStyle w:val="noprint"/>
          <w:rFonts w:cstheme="majorBidi"/>
          <w:sz w:val="32"/>
          <w:szCs w:val="32"/>
        </w:rPr>
        <w:t>.</w:t>
      </w:r>
    </w:p>
    <w:p w:rsidR="00EF14EE" w:rsidRPr="00D51320" w:rsidRDefault="00EF14EE" w:rsidP="00EF14EE">
      <w:pPr>
        <w:jc w:val="both"/>
        <w:rPr>
          <w:rStyle w:val="noprint"/>
          <w:rFonts w:cstheme="majorBidi"/>
          <w:b/>
          <w:bCs/>
          <w:sz w:val="32"/>
          <w:szCs w:val="32"/>
          <w:rtl/>
        </w:rPr>
      </w:pPr>
      <w:r w:rsidRPr="00D51320">
        <w:rPr>
          <w:rStyle w:val="noprint"/>
          <w:rFonts w:cstheme="majorBidi"/>
          <w:b/>
          <w:bCs/>
          <w:sz w:val="32"/>
          <w:szCs w:val="32"/>
          <w:rtl/>
        </w:rPr>
        <w:t>תוס' מנחות ל"ה</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 xml:space="preserve">מכאן היה מדקדק רבינו אליהו שצריך אדם לקשר תפילין בכל יום </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ור"ת מפרש דאין צריך ומביא ראיה מהא דאמרינן בפ"ק דחולין דצריך אדם שילמוד ג</w:t>
      </w:r>
      <w:r w:rsidRPr="00D51320">
        <w:rPr>
          <w:rFonts w:eastAsia="Times New Roman" w:cstheme="majorBidi"/>
          <w:sz w:val="32"/>
          <w:szCs w:val="32"/>
        </w:rPr>
        <w:t>'</w:t>
      </w:r>
      <w:r w:rsidRPr="00D51320">
        <w:rPr>
          <w:rFonts w:eastAsia="Times New Roman" w:cstheme="majorBidi"/>
          <w:sz w:val="32"/>
          <w:szCs w:val="32"/>
          <w:rtl/>
        </w:rPr>
        <w:t xml:space="preserve"> דברים כתב שחיטה ומילה ורב יהודה אמר אף קשר של תפילין וברכת חתנים וציצית ואידך הני שכיחן פי</w:t>
      </w:r>
      <w:r w:rsidRPr="00D51320">
        <w:rPr>
          <w:rFonts w:eastAsia="Times New Roman" w:cstheme="majorBidi"/>
          <w:sz w:val="32"/>
          <w:szCs w:val="32"/>
        </w:rPr>
        <w:t>'</w:t>
      </w:r>
      <w:r w:rsidRPr="00D51320">
        <w:rPr>
          <w:rFonts w:eastAsia="Times New Roman" w:cstheme="majorBidi"/>
          <w:sz w:val="32"/>
          <w:szCs w:val="32"/>
          <w:rtl/>
        </w:rPr>
        <w:t xml:space="preserve"> וצריך ללומדן לפי שתמיד צריך להן ואי בעי למקשר קשר של תפילין בכל יום איכא דשכיחא טפי </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ומיהו בקונטרס פי</w:t>
      </w:r>
      <w:r w:rsidRPr="00D51320">
        <w:rPr>
          <w:rFonts w:eastAsia="Times New Roman" w:cstheme="majorBidi"/>
          <w:sz w:val="32"/>
          <w:szCs w:val="32"/>
        </w:rPr>
        <w:t>'</w:t>
      </w:r>
      <w:r w:rsidRPr="00D51320">
        <w:rPr>
          <w:rFonts w:eastAsia="Times New Roman" w:cstheme="majorBidi"/>
          <w:sz w:val="32"/>
          <w:szCs w:val="32"/>
          <w:rtl/>
        </w:rPr>
        <w:t xml:space="preserve"> שם איפכא הני שכיחן קשר של תפילין וברכת חתנים וציצית ואין צריכין ללמוד שמנעוריו בקי בהן וכמו שפירשתי נראה דאדרבה כתב ושחיטה שכיחי טפי מכולהו </w:t>
      </w:r>
    </w:p>
    <w:p w:rsidR="00EF14EE" w:rsidRPr="00D51320" w:rsidRDefault="00EF14EE" w:rsidP="00EF14EE">
      <w:pPr>
        <w:jc w:val="both"/>
        <w:rPr>
          <w:rStyle w:val="noprint"/>
          <w:rFonts w:cstheme="majorBidi"/>
          <w:sz w:val="32"/>
          <w:szCs w:val="32"/>
          <w:rtl/>
        </w:rPr>
      </w:pPr>
      <w:r w:rsidRPr="00D51320">
        <w:rPr>
          <w:rFonts w:eastAsia="Times New Roman" w:cstheme="majorBidi"/>
          <w:sz w:val="32"/>
          <w:szCs w:val="32"/>
          <w:rtl/>
        </w:rPr>
        <w:t>ועוד מדקדק ר"ת דהך קשירה לאו ממש היא מהא דחשיב בריש פ</w:t>
      </w:r>
      <w:r w:rsidRPr="00D51320">
        <w:rPr>
          <w:rFonts w:eastAsia="Times New Roman" w:cstheme="majorBidi"/>
          <w:sz w:val="32"/>
          <w:szCs w:val="32"/>
        </w:rPr>
        <w:t>'</w:t>
      </w:r>
      <w:r w:rsidRPr="00D51320">
        <w:rPr>
          <w:rFonts w:eastAsia="Times New Roman" w:cstheme="majorBidi"/>
          <w:sz w:val="32"/>
          <w:szCs w:val="32"/>
          <w:rtl/>
        </w:rPr>
        <w:t xml:space="preserve"> בתרא דעירובין קשר </w:t>
      </w:r>
      <w:r w:rsidRPr="00D51320">
        <w:rPr>
          <w:rStyle w:val="noprint"/>
          <w:rFonts w:cstheme="majorBidi"/>
          <w:sz w:val="32"/>
          <w:szCs w:val="32"/>
          <w:rtl/>
        </w:rPr>
        <w:t xml:space="preserve">של תפילין קשר של קיימא ואם היה צריך להתיר ולקשור בכל יום אם כן לא הוי של קיימא ומשעת הנחה עד קשירה דהכא מפרש ר"ת דהך קשירה היינו ההדוק שמהדקו ומצמצמו בראשו </w:t>
      </w:r>
    </w:p>
    <w:p w:rsidR="00EF14EE" w:rsidRPr="00D51320" w:rsidRDefault="00EF14EE" w:rsidP="00EF14EE">
      <w:pPr>
        <w:jc w:val="both"/>
        <w:rPr>
          <w:rStyle w:val="noprint"/>
          <w:rFonts w:cstheme="majorBidi"/>
          <w:sz w:val="32"/>
          <w:szCs w:val="32"/>
          <w:rtl/>
        </w:rPr>
      </w:pPr>
      <w:r w:rsidRPr="00D51320">
        <w:rPr>
          <w:rStyle w:val="noprint"/>
          <w:rFonts w:cstheme="majorBidi"/>
          <w:sz w:val="32"/>
          <w:szCs w:val="32"/>
          <w:rtl/>
        </w:rPr>
        <w:t xml:space="preserve">ומסתברא כדברי ר"ת בתפילין של ראש וכדברי רבינו אליהו בתפילין של יד דכתיב בשל יד וקשרתם לאות על ידך דמשמע דכל שעה שמניח צריך לקשירה </w:t>
      </w:r>
    </w:p>
    <w:p w:rsidR="00EF14EE" w:rsidRPr="00D51320" w:rsidRDefault="00EF14EE" w:rsidP="00EF14EE">
      <w:pPr>
        <w:jc w:val="both"/>
        <w:rPr>
          <w:rStyle w:val="noprint"/>
          <w:rFonts w:cstheme="majorBidi"/>
          <w:sz w:val="32"/>
          <w:szCs w:val="32"/>
          <w:rtl/>
        </w:rPr>
      </w:pPr>
      <w:r w:rsidRPr="00D51320">
        <w:rPr>
          <w:rStyle w:val="noprint"/>
          <w:rFonts w:cstheme="majorBidi"/>
          <w:sz w:val="32"/>
          <w:szCs w:val="32"/>
          <w:rtl/>
        </w:rPr>
        <w:t xml:space="preserve">חוזרני לומר דתפילין של יד נמי לא בעו קשירה בכל יום </w:t>
      </w:r>
    </w:p>
    <w:p w:rsidR="00EF14EE" w:rsidRPr="00D51320" w:rsidRDefault="00EF14EE" w:rsidP="00EF14EE">
      <w:pPr>
        <w:jc w:val="both"/>
        <w:rPr>
          <w:rStyle w:val="noprint"/>
          <w:rFonts w:cstheme="majorBidi"/>
          <w:b/>
          <w:bCs/>
          <w:sz w:val="32"/>
          <w:szCs w:val="32"/>
          <w:rtl/>
        </w:rPr>
      </w:pPr>
      <w:r w:rsidRPr="00D51320">
        <w:rPr>
          <w:rStyle w:val="noprint"/>
          <w:rFonts w:cstheme="majorBidi"/>
          <w:b/>
          <w:bCs/>
          <w:sz w:val="32"/>
          <w:szCs w:val="32"/>
          <w:rtl/>
        </w:rPr>
        <w:t>מרדכי חולין</w:t>
      </w:r>
    </w:p>
    <w:p w:rsidR="00EF14EE" w:rsidRPr="00D51320" w:rsidRDefault="00EF14EE" w:rsidP="00EF14EE">
      <w:pPr>
        <w:jc w:val="both"/>
        <w:rPr>
          <w:rStyle w:val="noprint"/>
          <w:rFonts w:cstheme="majorBidi"/>
          <w:sz w:val="32"/>
          <w:szCs w:val="32"/>
          <w:rtl/>
        </w:rPr>
      </w:pPr>
      <w:r w:rsidRPr="00D51320">
        <w:rPr>
          <w:rStyle w:val="noprint"/>
          <w:rFonts w:cstheme="majorBidi"/>
          <w:sz w:val="32"/>
          <w:szCs w:val="32"/>
          <w:rtl/>
        </w:rPr>
        <w:t>ור"ת החזיק דבריו והביא ראיה מפ</w:t>
      </w:r>
      <w:r w:rsidRPr="00D51320">
        <w:rPr>
          <w:rStyle w:val="noprint"/>
          <w:rFonts w:cstheme="majorBidi"/>
          <w:sz w:val="32"/>
          <w:szCs w:val="32"/>
        </w:rPr>
        <w:t>'</w:t>
      </w:r>
      <w:r w:rsidRPr="00D51320">
        <w:rPr>
          <w:rStyle w:val="noprint"/>
          <w:rFonts w:cstheme="majorBidi"/>
          <w:sz w:val="32"/>
          <w:szCs w:val="32"/>
          <w:rtl/>
        </w:rPr>
        <w:t xml:space="preserve"> המוצא תפילין דאין צריך לעשות הקשר בכל יום מדחזינן התם דאסור לקושרם בשבת אפי</w:t>
      </w:r>
      <w:r w:rsidRPr="00D51320">
        <w:rPr>
          <w:rStyle w:val="noprint"/>
          <w:rFonts w:cstheme="majorBidi"/>
          <w:sz w:val="32"/>
          <w:szCs w:val="32"/>
        </w:rPr>
        <w:t>'</w:t>
      </w:r>
      <w:r w:rsidRPr="00D51320">
        <w:rPr>
          <w:rStyle w:val="noprint"/>
          <w:rFonts w:cstheme="majorBidi"/>
          <w:sz w:val="32"/>
          <w:szCs w:val="32"/>
          <w:rtl/>
        </w:rPr>
        <w:t xml:space="preserve"> הוי קשר של קיימא ואי מתירן בחול לא הוי קשר של קיימא ושרי אלא ש"מ דאין צריך לקושרם בכל יום מיהו נ"ל דראיית ר"ת אינה ראיה דאע"ג דלאו קשר הוא אסור לקושרו בשבת דרחמנא קרייה קשר</w:t>
      </w:r>
    </w:p>
    <w:p w:rsidR="00EF14EE" w:rsidRPr="00D51320" w:rsidRDefault="00EF14EE">
      <w:pPr>
        <w:bidi w:val="0"/>
        <w:rPr>
          <w:rStyle w:val="noprint"/>
          <w:rFonts w:cstheme="majorBidi"/>
          <w:sz w:val="32"/>
          <w:szCs w:val="32"/>
          <w:rtl/>
        </w:rPr>
      </w:pPr>
      <w:r w:rsidRPr="00D51320">
        <w:rPr>
          <w:rStyle w:val="noprint"/>
          <w:rFonts w:cstheme="majorBidi"/>
          <w:sz w:val="32"/>
          <w:szCs w:val="32"/>
          <w:rtl/>
        </w:rPr>
        <w:br w:type="page"/>
      </w:r>
    </w:p>
    <w:p w:rsidR="00EF14EE" w:rsidRPr="00D51320" w:rsidRDefault="00EF14EE" w:rsidP="00EF14EE">
      <w:pPr>
        <w:pStyle w:val="ListParagraph"/>
        <w:numPr>
          <w:ilvl w:val="0"/>
          <w:numId w:val="1"/>
        </w:numPr>
        <w:jc w:val="both"/>
        <w:rPr>
          <w:rStyle w:val="noprint"/>
          <w:rFonts w:cstheme="majorBidi"/>
          <w:b/>
          <w:bCs/>
          <w:sz w:val="32"/>
          <w:szCs w:val="32"/>
        </w:rPr>
      </w:pPr>
      <w:r w:rsidRPr="00D51320">
        <w:rPr>
          <w:rStyle w:val="noprint"/>
          <w:rFonts w:cstheme="majorBidi"/>
          <w:b/>
          <w:bCs/>
          <w:sz w:val="32"/>
          <w:szCs w:val="32"/>
          <w:rtl/>
        </w:rPr>
        <w:lastRenderedPageBreak/>
        <w:t>קשר של קיימא בתפילין</w:t>
      </w:r>
    </w:p>
    <w:p w:rsidR="00EF14EE" w:rsidRPr="00D51320" w:rsidRDefault="00EF14EE" w:rsidP="00EF14EE">
      <w:pPr>
        <w:jc w:val="both"/>
        <w:rPr>
          <w:rFonts w:cstheme="majorBidi"/>
          <w:b/>
          <w:bCs/>
          <w:sz w:val="32"/>
          <w:szCs w:val="32"/>
          <w:rtl/>
        </w:rPr>
      </w:pPr>
      <w:r w:rsidRPr="00D51320">
        <w:rPr>
          <w:rFonts w:cstheme="majorBidi"/>
          <w:b/>
          <w:bCs/>
          <w:sz w:val="32"/>
          <w:szCs w:val="32"/>
          <w:rtl/>
        </w:rPr>
        <w:t xml:space="preserve">נפש הרב </w:t>
      </w:r>
    </w:p>
    <w:p w:rsidR="00EF14EE" w:rsidRPr="00D51320" w:rsidRDefault="00EF14EE" w:rsidP="00EF14EE">
      <w:pPr>
        <w:jc w:val="both"/>
        <w:rPr>
          <w:rFonts w:cstheme="majorBidi"/>
          <w:sz w:val="32"/>
          <w:szCs w:val="32"/>
          <w:rtl/>
        </w:rPr>
      </w:pPr>
      <w:r w:rsidRPr="00D51320">
        <w:rPr>
          <w:rFonts w:cstheme="majorBidi"/>
          <w:sz w:val="32"/>
          <w:szCs w:val="32"/>
          <w:rtl/>
        </w:rPr>
        <w:t xml:space="preserve">עי' תשו' אבני נזר או"ח סימן קפ"ג השואל תפילין מחבירו ומתקן את הקשר של ראש לפי גודל ראשו ובשעת מעשה דעתו להחזיר את הקשר לקדמותו תיכף ומיד לאחר שיגמור את תפילתו דאינו יוצא בכה"ג י"ח מצוות תפילין דלהכשר התפילין הלא בעינן קשר של קיימא ובדעתו להתיר את הקשר החדש שעשה זה עתה בו ביום ממש פשיטא דזה לא מיקרי של קיימא </w:t>
      </w:r>
    </w:p>
    <w:p w:rsidR="00EF14EE" w:rsidRPr="00D51320" w:rsidRDefault="00EF14EE" w:rsidP="00EF14EE">
      <w:pPr>
        <w:jc w:val="both"/>
        <w:rPr>
          <w:rFonts w:cstheme="majorBidi"/>
          <w:sz w:val="32"/>
          <w:szCs w:val="32"/>
          <w:rtl/>
        </w:rPr>
      </w:pPr>
      <w:r w:rsidRPr="00D51320">
        <w:rPr>
          <w:rFonts w:cstheme="majorBidi"/>
          <w:sz w:val="32"/>
          <w:szCs w:val="32"/>
          <w:rtl/>
        </w:rPr>
        <w:t>ורבנו אמר דבפשוטו נראה דאין דבריהם נכונים בזה דנראה דב' הלכות יש בדין של קיימא בנוגע לקושר א' דבעינן שתהא צורת הקשר של קיימא ופרט זה מדיני קשר דכל התורה כולה הוא אשר לפיכך נוהג דבר זה אף בקשר של תפילין נולפי המנהג אף בסנדל של חליצה ובזה הוא דפליגי ר"י ורבנן בעניבה אם דינה כקשר של קיימא אן לא כלומר אם צורתה כצורת קשר של קיימא או לא ועוד דין שני יש במלאכת קושר דשבת הנלמד מקרא דמלאכת מחשבת דכל שאין הקשר עשוי להתקיים לזמן מרובה אינו בכלל של קיימא אך נראה</w:t>
      </w:r>
    </w:p>
    <w:p w:rsidR="00EF14EE" w:rsidRPr="00D51320" w:rsidRDefault="00EF14EE" w:rsidP="00EF14EE">
      <w:pPr>
        <w:jc w:val="both"/>
        <w:rPr>
          <w:rFonts w:cstheme="majorBidi"/>
          <w:sz w:val="32"/>
          <w:szCs w:val="32"/>
          <w:rtl/>
        </w:rPr>
      </w:pPr>
      <w:r w:rsidRPr="00D51320">
        <w:rPr>
          <w:rFonts w:cstheme="majorBidi"/>
          <w:sz w:val="32"/>
          <w:szCs w:val="32"/>
          <w:rtl/>
        </w:rPr>
        <w:t>פשוט דדם אינו שייך כלל לדין קשר דכל התורה כולה תפילין ופשיטא דאינו שייך לקשר שברצועות של הסנדל של חליצה ואתי שפיר מנהג העולם שמתקנים את הקשר שבתפילה של ראש רק על שעה קלה ותיכף מתירים אותו דאף דמבואר בסוף ערובין דבעינן לתפילין שיהא הקשר של קיימא היינו דוקא בצורתו אך פשיטא דא"צ שתהא דעתו להניחו לזמן מרובה</w:t>
      </w:r>
    </w:p>
    <w:p w:rsidR="00EF14EE" w:rsidRPr="00D51320" w:rsidRDefault="00EF14EE">
      <w:pPr>
        <w:bidi w:val="0"/>
        <w:rPr>
          <w:rFonts w:cstheme="majorBidi"/>
          <w:sz w:val="32"/>
          <w:szCs w:val="32"/>
          <w:rtl/>
        </w:rPr>
      </w:pPr>
      <w:r w:rsidRPr="00D51320">
        <w:rPr>
          <w:rFonts w:cstheme="majorBidi"/>
          <w:sz w:val="32"/>
          <w:szCs w:val="32"/>
          <w:rtl/>
        </w:rPr>
        <w:br w:type="page"/>
      </w:r>
    </w:p>
    <w:p w:rsidR="00EF14EE" w:rsidRPr="00D51320" w:rsidRDefault="00EF14EE" w:rsidP="00EF14EE">
      <w:pPr>
        <w:pStyle w:val="ListParagraph"/>
        <w:numPr>
          <w:ilvl w:val="0"/>
          <w:numId w:val="1"/>
        </w:numPr>
        <w:jc w:val="both"/>
        <w:rPr>
          <w:rFonts w:cstheme="majorBidi"/>
          <w:b/>
          <w:bCs/>
          <w:sz w:val="32"/>
          <w:szCs w:val="32"/>
        </w:rPr>
      </w:pPr>
      <w:r w:rsidRPr="00D51320">
        <w:rPr>
          <w:rFonts w:cstheme="majorBidi"/>
          <w:b/>
          <w:bCs/>
          <w:sz w:val="32"/>
          <w:szCs w:val="32"/>
          <w:rtl/>
        </w:rPr>
        <w:lastRenderedPageBreak/>
        <w:t>מקום התפילין של יד על הזרוע</w:t>
      </w:r>
    </w:p>
    <w:p w:rsidR="00EF14EE" w:rsidRPr="00D51320" w:rsidRDefault="00EF14EE" w:rsidP="00EF14EE">
      <w:pPr>
        <w:jc w:val="both"/>
        <w:rPr>
          <w:rFonts w:cstheme="majorBidi"/>
          <w:b/>
          <w:bCs/>
          <w:sz w:val="32"/>
          <w:szCs w:val="32"/>
          <w:rtl/>
        </w:rPr>
      </w:pPr>
      <w:r w:rsidRPr="00D51320">
        <w:rPr>
          <w:rFonts w:cstheme="majorBidi"/>
          <w:b/>
          <w:bCs/>
          <w:sz w:val="32"/>
          <w:szCs w:val="32"/>
          <w:rtl/>
        </w:rPr>
        <w:t>מנחות דף ל"ז</w:t>
      </w:r>
    </w:p>
    <w:p w:rsidR="00EF14EE" w:rsidRPr="00D51320" w:rsidRDefault="00EF14EE" w:rsidP="00EF14EE">
      <w:pPr>
        <w:jc w:val="both"/>
        <w:rPr>
          <w:rStyle w:val="noprint"/>
          <w:rFonts w:cstheme="majorBidi"/>
          <w:sz w:val="32"/>
          <w:szCs w:val="32"/>
          <w:rtl/>
        </w:rPr>
      </w:pPr>
      <w:r w:rsidRPr="00D51320">
        <w:rPr>
          <w:rStyle w:val="noprint"/>
          <w:rFonts w:cstheme="majorBidi"/>
          <w:sz w:val="32"/>
          <w:szCs w:val="32"/>
          <w:rtl/>
        </w:rPr>
        <w:t>תנא דבי מנשה</w:t>
      </w:r>
      <w:r w:rsidRPr="00D51320">
        <w:rPr>
          <w:rStyle w:val="noprint"/>
          <w:rFonts w:cstheme="majorBidi"/>
          <w:sz w:val="32"/>
          <w:szCs w:val="32"/>
        </w:rPr>
        <w:t>:</w:t>
      </w:r>
      <w:r w:rsidRPr="00D51320">
        <w:rPr>
          <w:rStyle w:val="noprint"/>
          <w:rFonts w:cstheme="majorBidi"/>
          <w:sz w:val="32"/>
          <w:szCs w:val="32"/>
          <w:rtl/>
        </w:rPr>
        <w:t xml:space="preserve"> על ידך </w:t>
      </w:r>
      <w:r w:rsidRPr="00D51320">
        <w:rPr>
          <w:rStyle w:val="noprint"/>
          <w:rFonts w:cstheme="majorBidi"/>
          <w:sz w:val="32"/>
          <w:szCs w:val="32"/>
        </w:rPr>
        <w:t>–</w:t>
      </w:r>
      <w:r w:rsidRPr="00D51320">
        <w:rPr>
          <w:rStyle w:val="noprint"/>
          <w:rFonts w:cstheme="majorBidi"/>
          <w:sz w:val="32"/>
          <w:szCs w:val="32"/>
          <w:rtl/>
        </w:rPr>
        <w:t xml:space="preserve"> זו קיבורת</w:t>
      </w:r>
      <w:r w:rsidRPr="00D51320">
        <w:rPr>
          <w:rStyle w:val="noprint"/>
          <w:rFonts w:cstheme="majorBidi"/>
          <w:sz w:val="32"/>
          <w:szCs w:val="32"/>
        </w:rPr>
        <w:t>,</w:t>
      </w:r>
      <w:r w:rsidRPr="00D51320">
        <w:rPr>
          <w:rStyle w:val="noprint"/>
          <w:rFonts w:cstheme="majorBidi"/>
          <w:sz w:val="32"/>
          <w:szCs w:val="32"/>
          <w:rtl/>
        </w:rPr>
        <w:t xml:space="preserve"> </w:t>
      </w:r>
    </w:p>
    <w:p w:rsidR="00EF14EE" w:rsidRPr="00D51320" w:rsidRDefault="00EF14EE" w:rsidP="00EF14EE">
      <w:pPr>
        <w:jc w:val="both"/>
        <w:rPr>
          <w:rStyle w:val="noprint"/>
          <w:rFonts w:cstheme="majorBidi"/>
          <w:b/>
          <w:bCs/>
          <w:sz w:val="32"/>
          <w:szCs w:val="32"/>
          <w:rtl/>
        </w:rPr>
      </w:pPr>
      <w:r w:rsidRPr="00D51320">
        <w:rPr>
          <w:rStyle w:val="noprint"/>
          <w:rFonts w:cstheme="majorBidi"/>
          <w:b/>
          <w:bCs/>
          <w:sz w:val="32"/>
          <w:szCs w:val="32"/>
          <w:rtl/>
        </w:rPr>
        <w:t>שלחן ערוך סימן כ"ז</w:t>
      </w:r>
    </w:p>
    <w:p w:rsidR="00EF14EE" w:rsidRPr="00D51320" w:rsidRDefault="00EF14EE" w:rsidP="00EF14EE">
      <w:pPr>
        <w:jc w:val="both"/>
        <w:rPr>
          <w:rFonts w:eastAsia="Times New Roman" w:cstheme="majorBidi"/>
          <w:sz w:val="32"/>
          <w:szCs w:val="32"/>
          <w:rtl/>
        </w:rPr>
      </w:pPr>
      <w:r w:rsidRPr="00D51320">
        <w:rPr>
          <w:rStyle w:val="noprint"/>
          <w:rFonts w:cstheme="majorBidi"/>
          <w:sz w:val="32"/>
          <w:szCs w:val="32"/>
          <w:rtl/>
        </w:rPr>
        <w:t>מקום הנחתן של יד בזרוע שמאל</w:t>
      </w:r>
      <w:r w:rsidRPr="00D51320">
        <w:rPr>
          <w:rFonts w:eastAsia="Times New Roman" w:cstheme="majorBidi"/>
          <w:sz w:val="32"/>
          <w:szCs w:val="32"/>
          <w:rtl/>
        </w:rPr>
        <w:t xml:space="preserve"> בבשר התפוח שבעצם שבין הקובד"ו ובית השחי</w:t>
      </w:r>
      <w:r w:rsidRPr="00D51320">
        <w:rPr>
          <w:rFonts w:eastAsia="Times New Roman" w:cstheme="majorBidi"/>
          <w:sz w:val="32"/>
          <w:szCs w:val="32"/>
        </w:rPr>
        <w:t>,</w:t>
      </w:r>
      <w:r w:rsidRPr="00D51320">
        <w:rPr>
          <w:rFonts w:eastAsia="Times New Roman" w:cstheme="majorBidi"/>
          <w:sz w:val="32"/>
          <w:szCs w:val="32"/>
          <w:rtl/>
        </w:rPr>
        <w:t xml:space="preserve"> ויטה התפלה מעט לצד הגוף בענין שכשיכוף זרועו למטה יהיו כנגד לבו</w:t>
      </w:r>
      <w:r w:rsidRPr="00D51320">
        <w:rPr>
          <w:rFonts w:eastAsia="Times New Roman" w:cstheme="majorBidi"/>
          <w:sz w:val="32"/>
          <w:szCs w:val="32"/>
        </w:rPr>
        <w:t>,</w:t>
      </w:r>
      <w:r w:rsidRPr="00D51320">
        <w:rPr>
          <w:rFonts w:eastAsia="Times New Roman" w:cstheme="majorBidi"/>
          <w:sz w:val="32"/>
          <w:szCs w:val="32"/>
          <w:rtl/>
        </w:rPr>
        <w:t xml:space="preserve"> ונמצא מקיים והיו הדברים האלה על לבבך הגה</w:t>
      </w:r>
      <w:r w:rsidRPr="00D51320">
        <w:rPr>
          <w:rFonts w:eastAsia="Times New Roman" w:cstheme="majorBidi"/>
          <w:sz w:val="32"/>
          <w:szCs w:val="32"/>
        </w:rPr>
        <w:t>:</w:t>
      </w:r>
      <w:r w:rsidRPr="00D51320">
        <w:rPr>
          <w:rFonts w:eastAsia="Times New Roman" w:cstheme="majorBidi"/>
          <w:sz w:val="32"/>
          <w:szCs w:val="32"/>
          <w:rtl/>
        </w:rPr>
        <w:t xml:space="preserve"> וצריך להניח בראש העצם הסמוך לקובד"ו אבל לא בחצי העצם שסמוך לשחי.</w:t>
      </w:r>
    </w:p>
    <w:p w:rsidR="00EF14EE" w:rsidRPr="00D51320" w:rsidRDefault="00EF14EE" w:rsidP="00EF14EE">
      <w:pPr>
        <w:jc w:val="both"/>
        <w:rPr>
          <w:rFonts w:eastAsia="Times New Roman" w:cstheme="majorBidi"/>
          <w:b/>
          <w:bCs/>
          <w:sz w:val="32"/>
          <w:szCs w:val="32"/>
          <w:rtl/>
        </w:rPr>
      </w:pPr>
      <w:r w:rsidRPr="00D51320">
        <w:rPr>
          <w:rFonts w:eastAsia="Times New Roman" w:cstheme="majorBidi"/>
          <w:b/>
          <w:bCs/>
          <w:sz w:val="32"/>
          <w:szCs w:val="32"/>
          <w:rtl/>
        </w:rPr>
        <w:t>משנה ברורה סק"ד</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אין ר"ל ראש העצם ממש דהתם עדיין נמוך הבשר ועד שיתחיל להיות גבוהאין מקום תפילין דאין ע"ז שם קיבורת אלא ר"ל בגובה הבשר שבעצם ולא בא הרמ"א בזה לחדש שום דבר רק במה שסיים אבל לא בחצי העצם שסמוך לשחי ור"לאף שיש גם שם עדיין מקצת בשר תפוח וגם דעת המחבר הוא כן דדוקא מחצי העצם ולמטה כדמוכח בסעיף ז</w:t>
      </w:r>
      <w:r w:rsidRPr="00D51320">
        <w:rPr>
          <w:rFonts w:eastAsia="Times New Roman" w:cstheme="majorBidi"/>
          <w:sz w:val="32"/>
          <w:szCs w:val="32"/>
        </w:rPr>
        <w:t>'</w:t>
      </w:r>
      <w:r w:rsidRPr="00D51320">
        <w:rPr>
          <w:rFonts w:eastAsia="Times New Roman" w:cstheme="majorBidi"/>
          <w:sz w:val="32"/>
          <w:szCs w:val="32"/>
          <w:rtl/>
        </w:rPr>
        <w:t xml:space="preserve"> </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 xml:space="preserve">והגר"א בביאורו הסכים לדינא דכל מקום הקיבורת כשר להניח בו תפילין </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 xml:space="preserve">ועכ"פלמטה ממקום הקיבורת פסול לכו"ע </w:t>
      </w:r>
    </w:p>
    <w:p w:rsidR="00EF14EE" w:rsidRPr="00D51320" w:rsidRDefault="00EF14EE" w:rsidP="00EF14EE">
      <w:pPr>
        <w:jc w:val="both"/>
        <w:rPr>
          <w:rFonts w:eastAsia="Times New Roman" w:cstheme="majorBidi"/>
          <w:sz w:val="32"/>
          <w:szCs w:val="32"/>
          <w:rtl/>
        </w:rPr>
      </w:pPr>
      <w:r w:rsidRPr="00D51320">
        <w:rPr>
          <w:rFonts w:eastAsia="Times New Roman" w:cstheme="majorBidi"/>
          <w:b/>
          <w:bCs/>
          <w:sz w:val="32"/>
          <w:szCs w:val="32"/>
          <w:rtl/>
        </w:rPr>
        <w:t>ע"כ נכון למנוע מלהניח תפילין גדולים כי ע"פ הרוב מצוי בתפילין גדולים שסוף הקציצה מונחת למטה ממקום הקיבורת אם לא שיקשרם לכתחלה בחצי העצם העליון וגם זה לא נכון להקל לכתחילה בזה אחרי דדעת המחבר ורמ"א להחמיר בזה</w:t>
      </w:r>
      <w:r w:rsidRPr="00D51320">
        <w:rPr>
          <w:rFonts w:eastAsia="Times New Roman" w:cstheme="majorBidi"/>
          <w:b/>
          <w:bCs/>
          <w:sz w:val="32"/>
          <w:szCs w:val="32"/>
        </w:rPr>
        <w:t>.</w:t>
      </w:r>
      <w:r w:rsidRPr="00D51320">
        <w:rPr>
          <w:rFonts w:eastAsia="Times New Roman" w:cstheme="majorBidi"/>
          <w:b/>
          <w:bCs/>
          <w:sz w:val="32"/>
          <w:szCs w:val="32"/>
          <w:rtl/>
        </w:rPr>
        <w:t xml:space="preserve"> אך אם אין לו כ"א תפילין גדולים טוב יותר שיקשרם בחצי העצם העליון במקום שנמצא עדיין בשר התפוח</w:t>
      </w:r>
      <w:r w:rsidRPr="00D51320">
        <w:rPr>
          <w:rFonts w:eastAsia="Times New Roman" w:cstheme="majorBidi"/>
          <w:sz w:val="32"/>
          <w:szCs w:val="32"/>
          <w:rtl/>
        </w:rPr>
        <w:t xml:space="preserve"> ויצא בזה עכ"פ דעת הגר"א וש"פ ממה שיהיו מונחים למטה ממקום הקיבורת ולא יצא בזה אליבא דכו"ע וגם הברכה יהיה לבטלה</w:t>
      </w:r>
      <w:r w:rsidRPr="00D51320">
        <w:rPr>
          <w:rFonts w:eastAsia="Times New Roman" w:cstheme="majorBidi"/>
          <w:sz w:val="32"/>
          <w:szCs w:val="32"/>
        </w:rPr>
        <w:t>:</w:t>
      </w:r>
    </w:p>
    <w:p w:rsidR="00EF14EE" w:rsidRPr="00D51320" w:rsidRDefault="00EF14EE">
      <w:pPr>
        <w:bidi w:val="0"/>
        <w:rPr>
          <w:rFonts w:eastAsia="Times New Roman" w:cstheme="majorBidi"/>
          <w:sz w:val="32"/>
          <w:szCs w:val="32"/>
          <w:rtl/>
        </w:rPr>
      </w:pPr>
      <w:r w:rsidRPr="00D51320">
        <w:rPr>
          <w:rFonts w:eastAsia="Times New Roman" w:cstheme="majorBidi"/>
          <w:sz w:val="32"/>
          <w:szCs w:val="32"/>
          <w:rtl/>
        </w:rPr>
        <w:br w:type="page"/>
      </w:r>
    </w:p>
    <w:p w:rsidR="00EF14EE" w:rsidRPr="00D51320" w:rsidRDefault="00EF14EE" w:rsidP="00EF14EE">
      <w:pPr>
        <w:pStyle w:val="ListParagraph"/>
        <w:numPr>
          <w:ilvl w:val="0"/>
          <w:numId w:val="1"/>
        </w:numPr>
        <w:jc w:val="both"/>
        <w:rPr>
          <w:rFonts w:eastAsia="Times New Roman" w:cstheme="majorBidi"/>
          <w:b/>
          <w:bCs/>
          <w:sz w:val="32"/>
          <w:szCs w:val="32"/>
        </w:rPr>
      </w:pPr>
      <w:r w:rsidRPr="00D51320">
        <w:rPr>
          <w:rFonts w:eastAsia="Times New Roman" w:cstheme="majorBidi"/>
          <w:b/>
          <w:bCs/>
          <w:sz w:val="32"/>
          <w:szCs w:val="32"/>
          <w:rtl/>
        </w:rPr>
        <w:lastRenderedPageBreak/>
        <w:t>הרצועה והקשר צד הלב או לצד החוץ</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סעיף ב'</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 xml:space="preserve"> המנהג הנכון שיהא היו"ד של קשר תפלה של יד לצד הלבוהתפלה עליו לצד חוץ יש ליזהר שלא תזוזיו"ד של הקשר מהתפלה</w:t>
      </w:r>
      <w:r w:rsidRPr="00D51320">
        <w:rPr>
          <w:rFonts w:eastAsia="Times New Roman" w:cstheme="majorBidi"/>
          <w:sz w:val="32"/>
          <w:szCs w:val="32"/>
        </w:rPr>
        <w:t>.</w:t>
      </w:r>
    </w:p>
    <w:p w:rsidR="00EF14EE" w:rsidRPr="00D51320" w:rsidRDefault="00EF14EE" w:rsidP="00EF14EE">
      <w:pPr>
        <w:jc w:val="both"/>
        <w:rPr>
          <w:rFonts w:eastAsia="Times New Roman" w:cstheme="majorBidi"/>
          <w:b/>
          <w:bCs/>
          <w:sz w:val="32"/>
          <w:szCs w:val="32"/>
          <w:rtl/>
        </w:rPr>
      </w:pPr>
      <w:r w:rsidRPr="00D51320">
        <w:rPr>
          <w:rFonts w:eastAsia="Times New Roman" w:cstheme="majorBidi"/>
          <w:b/>
          <w:bCs/>
          <w:sz w:val="32"/>
          <w:szCs w:val="32"/>
          <w:rtl/>
        </w:rPr>
        <w:t xml:space="preserve">ביאור הלכה </w:t>
      </w:r>
    </w:p>
    <w:p w:rsidR="00D51320" w:rsidRDefault="00EF14EE" w:rsidP="00D51320">
      <w:pPr>
        <w:jc w:val="both"/>
        <w:rPr>
          <w:rStyle w:val="noprint"/>
          <w:rFonts w:cstheme="majorBidi"/>
          <w:sz w:val="32"/>
          <w:szCs w:val="32"/>
          <w:rtl/>
        </w:rPr>
      </w:pPr>
      <w:r w:rsidRPr="00D51320">
        <w:rPr>
          <w:rStyle w:val="noprint"/>
          <w:rFonts w:cstheme="majorBidi"/>
          <w:sz w:val="32"/>
          <w:szCs w:val="32"/>
          <w:rtl/>
        </w:rPr>
        <w:t xml:space="preserve">עיין בב"י בשם מהר"י ב"ח דמשמע מדבריו דרק עשיית הקשר והיו"ד אשר בו צריך שיהיה דוקא למטה מהתפלה לצד הלב אבל כניסת הרצועה תוך כפל הקשר תבא למעלה מהתפלה והוא הנכון </w:t>
      </w:r>
    </w:p>
    <w:p w:rsidR="00D51320" w:rsidRDefault="00EF14EE" w:rsidP="00D51320">
      <w:pPr>
        <w:jc w:val="both"/>
        <w:rPr>
          <w:rStyle w:val="noprint"/>
          <w:rFonts w:cstheme="majorBidi"/>
          <w:sz w:val="32"/>
          <w:szCs w:val="32"/>
          <w:rtl/>
        </w:rPr>
      </w:pPr>
      <w:r w:rsidRPr="00D51320">
        <w:rPr>
          <w:rStyle w:val="noprint"/>
          <w:rFonts w:cstheme="majorBidi"/>
          <w:sz w:val="32"/>
          <w:szCs w:val="32"/>
          <w:rtl/>
        </w:rPr>
        <w:t xml:space="preserve">אבל בד"מ משמע שיותר טוב כהמנהג שנוהגין שגם תחיבת הרצועה בתוך הקשר והכפל יהיה לימינו שהוא לצד הלב </w:t>
      </w:r>
    </w:p>
    <w:p w:rsidR="00D51320" w:rsidRDefault="00EF14EE" w:rsidP="00D51320">
      <w:pPr>
        <w:jc w:val="both"/>
        <w:rPr>
          <w:rStyle w:val="noprint"/>
          <w:rFonts w:cstheme="majorBidi"/>
          <w:sz w:val="32"/>
          <w:szCs w:val="32"/>
          <w:rtl/>
        </w:rPr>
      </w:pPr>
      <w:r w:rsidRPr="00D51320">
        <w:rPr>
          <w:rStyle w:val="noprint"/>
          <w:rFonts w:cstheme="majorBidi"/>
          <w:sz w:val="32"/>
          <w:szCs w:val="32"/>
          <w:rtl/>
        </w:rPr>
        <w:t>והנה מלשון השו"ע לכאורה משמע דסובר כמהריב"ח מדכתב שיהא היו"ד של קשר וכו</w:t>
      </w:r>
      <w:r w:rsidRPr="00D51320">
        <w:rPr>
          <w:rStyle w:val="noprint"/>
          <w:rFonts w:cstheme="majorBidi"/>
          <w:sz w:val="32"/>
          <w:szCs w:val="32"/>
        </w:rPr>
        <w:t>'</w:t>
      </w:r>
      <w:r w:rsidRPr="00D51320">
        <w:rPr>
          <w:rStyle w:val="noprint"/>
          <w:rFonts w:cstheme="majorBidi"/>
          <w:sz w:val="32"/>
          <w:szCs w:val="32"/>
          <w:rtl/>
        </w:rPr>
        <w:t xml:space="preserve"> משמע דמקום שתוחב הרצועה בכפל איננו לצד הלב כ"א לצד חוץ אבל יש לדחות דכונתו רק למעט שלא נעשה כשיטת בעל המאור המובא בב"י שיהא התפלה של יד לצד הלב והקשר לצד חוץ אבל בזה רשות בידו לעשות כמה שירצה</w:t>
      </w:r>
      <w:r w:rsidRPr="00D51320">
        <w:rPr>
          <w:rStyle w:val="noprint"/>
          <w:rFonts w:cstheme="majorBidi"/>
          <w:sz w:val="32"/>
          <w:szCs w:val="32"/>
        </w:rPr>
        <w:t>.</w:t>
      </w:r>
      <w:r w:rsidRPr="00D51320">
        <w:rPr>
          <w:rStyle w:val="noprint"/>
          <w:rFonts w:cstheme="majorBidi"/>
          <w:sz w:val="32"/>
          <w:szCs w:val="32"/>
          <w:rtl/>
        </w:rPr>
        <w:t xml:space="preserve"> </w:t>
      </w:r>
    </w:p>
    <w:p w:rsidR="00EF14EE" w:rsidRPr="00D51320" w:rsidRDefault="00EF14EE" w:rsidP="00D51320">
      <w:pPr>
        <w:jc w:val="both"/>
        <w:rPr>
          <w:rFonts w:eastAsia="Times New Roman" w:cstheme="majorBidi"/>
          <w:sz w:val="32"/>
          <w:szCs w:val="32"/>
        </w:rPr>
      </w:pPr>
      <w:r w:rsidRPr="00D51320">
        <w:rPr>
          <w:rStyle w:val="noprint"/>
          <w:rFonts w:cstheme="majorBidi"/>
          <w:sz w:val="32"/>
          <w:szCs w:val="32"/>
          <w:rtl/>
        </w:rPr>
        <w:t>ואע"פ שהעדפנו את המנהג של הד"מ מ"מ הנוהג כמהריב"ח אין למחות בידו כי יש לו על מי לסמוך גם ע"י מנהגו טוב שלא יזיז היו"ד לעולם מהבית משא"כ לפי מה שאנו נוהגין כהד"מ צריך בכל עת שמירה לזה</w:t>
      </w:r>
    </w:p>
    <w:p w:rsidR="00EF14EE" w:rsidRPr="00D51320" w:rsidRDefault="00EF14EE" w:rsidP="00EF14EE">
      <w:pPr>
        <w:jc w:val="both"/>
        <w:rPr>
          <w:rFonts w:eastAsia="Times New Roman" w:cstheme="majorBidi"/>
          <w:b/>
          <w:bCs/>
          <w:sz w:val="32"/>
          <w:szCs w:val="32"/>
          <w:rtl/>
        </w:rPr>
      </w:pPr>
      <w:r w:rsidRPr="00D51320">
        <w:rPr>
          <w:rFonts w:eastAsia="Times New Roman" w:cstheme="majorBidi"/>
          <w:b/>
          <w:bCs/>
          <w:sz w:val="32"/>
          <w:szCs w:val="32"/>
          <w:rtl/>
        </w:rPr>
        <w:t>סעיף ג'</w:t>
      </w:r>
    </w:p>
    <w:p w:rsidR="00EF14EE" w:rsidRPr="00D51320" w:rsidRDefault="00EF14EE" w:rsidP="00EF14EE">
      <w:pPr>
        <w:jc w:val="both"/>
        <w:rPr>
          <w:rFonts w:eastAsia="Times New Roman" w:cstheme="majorBidi"/>
          <w:sz w:val="32"/>
          <w:szCs w:val="32"/>
          <w:rtl/>
        </w:rPr>
      </w:pPr>
      <w:r w:rsidRPr="00D51320">
        <w:rPr>
          <w:rFonts w:eastAsia="Times New Roman" w:cstheme="majorBidi"/>
          <w:sz w:val="32"/>
          <w:szCs w:val="32"/>
          <w:rtl/>
        </w:rPr>
        <w:t>המנהג הנכון לתקן שהמעברתא שבה הרצועה עוברת תהא מונחת לצד הכתף והקציצה לצד היד</w:t>
      </w:r>
      <w:r w:rsidRPr="00D51320">
        <w:rPr>
          <w:rFonts w:eastAsia="Times New Roman" w:cstheme="majorBidi"/>
          <w:sz w:val="32"/>
          <w:szCs w:val="32"/>
        </w:rPr>
        <w:t>.</w:t>
      </w:r>
      <w:r w:rsidRPr="00D51320">
        <w:rPr>
          <w:rFonts w:eastAsia="Times New Roman" w:cstheme="majorBidi"/>
          <w:sz w:val="32"/>
          <w:szCs w:val="32"/>
          <w:rtl/>
        </w:rPr>
        <w:t xml:space="preserve"> </w:t>
      </w:r>
    </w:p>
    <w:p w:rsidR="00EF14EE" w:rsidRPr="00D51320" w:rsidRDefault="00EF14EE" w:rsidP="00EF14EE">
      <w:pPr>
        <w:jc w:val="both"/>
        <w:rPr>
          <w:rFonts w:eastAsia="Times New Roman" w:cstheme="majorBidi"/>
          <w:b/>
          <w:bCs/>
          <w:sz w:val="32"/>
          <w:szCs w:val="32"/>
          <w:rtl/>
        </w:rPr>
      </w:pPr>
      <w:r w:rsidRPr="00D51320">
        <w:rPr>
          <w:rFonts w:eastAsia="Times New Roman" w:cstheme="majorBidi"/>
          <w:b/>
          <w:bCs/>
          <w:sz w:val="32"/>
          <w:szCs w:val="32"/>
          <w:rtl/>
        </w:rPr>
        <w:t xml:space="preserve">ביאור הלכה </w:t>
      </w:r>
    </w:p>
    <w:p w:rsidR="00D51320" w:rsidRDefault="00EF14EE" w:rsidP="00EF14EE">
      <w:pPr>
        <w:jc w:val="both"/>
        <w:rPr>
          <w:rStyle w:val="noprint"/>
          <w:rFonts w:cstheme="majorBidi"/>
          <w:sz w:val="32"/>
          <w:szCs w:val="32"/>
          <w:rtl/>
        </w:rPr>
      </w:pPr>
      <w:r w:rsidRPr="00D51320">
        <w:rPr>
          <w:rStyle w:val="noprint"/>
          <w:rFonts w:cstheme="majorBidi"/>
          <w:sz w:val="32"/>
          <w:szCs w:val="32"/>
          <w:rtl/>
        </w:rPr>
        <w:t>ובכל זה מי שהוא איטר ואין לו רק תפילין של אינו איטר או להיפך יוכל להפך להניח הקציצה לצד הכתף והמעברתא לצד היד כ"כ בתשו</w:t>
      </w:r>
      <w:r w:rsidRPr="00D51320">
        <w:rPr>
          <w:rStyle w:val="noprint"/>
          <w:rFonts w:cstheme="majorBidi"/>
          <w:sz w:val="32"/>
          <w:szCs w:val="32"/>
        </w:rPr>
        <w:t>'</w:t>
      </w:r>
      <w:r w:rsidRPr="00D51320">
        <w:rPr>
          <w:rStyle w:val="noprint"/>
          <w:rFonts w:cstheme="majorBidi"/>
          <w:sz w:val="32"/>
          <w:szCs w:val="32"/>
          <w:rtl/>
        </w:rPr>
        <w:t xml:space="preserve"> שבו"י ובארה"ח כי זה בודאי טוב יותר ממה שיניח כך ויהיה התפילין סמוך ללב ויהיה קשר היו"ד חוצה לה וכמו שכתב הגר"א שהסעיף ב</w:t>
      </w:r>
      <w:r w:rsidRPr="00D51320">
        <w:rPr>
          <w:rStyle w:val="noprint"/>
          <w:rFonts w:cstheme="majorBidi"/>
          <w:sz w:val="32"/>
          <w:szCs w:val="32"/>
        </w:rPr>
        <w:t>'</w:t>
      </w:r>
      <w:r w:rsidRPr="00D51320">
        <w:rPr>
          <w:rStyle w:val="noprint"/>
          <w:rFonts w:cstheme="majorBidi"/>
          <w:sz w:val="32"/>
          <w:szCs w:val="32"/>
          <w:rtl/>
        </w:rPr>
        <w:t xml:space="preserve"> אף שכתב בשו"ע בשם מנהג דינא דגמרא הוא לפי</w:t>
      </w:r>
      <w:r w:rsidRPr="00D51320">
        <w:rPr>
          <w:rStyle w:val="noprint"/>
          <w:rFonts w:cstheme="majorBidi"/>
          <w:sz w:val="32"/>
          <w:szCs w:val="32"/>
        </w:rPr>
        <w:t>'</w:t>
      </w:r>
      <w:r w:rsidRPr="00D51320">
        <w:rPr>
          <w:rStyle w:val="noprint"/>
          <w:rFonts w:cstheme="majorBidi"/>
          <w:sz w:val="32"/>
          <w:szCs w:val="32"/>
          <w:rtl/>
        </w:rPr>
        <w:t xml:space="preserve"> הגאונים </w:t>
      </w:r>
    </w:p>
    <w:p w:rsidR="00EF14EE" w:rsidRPr="00D51320" w:rsidRDefault="00EF14EE" w:rsidP="00D51320">
      <w:pPr>
        <w:jc w:val="both"/>
        <w:rPr>
          <w:rFonts w:cstheme="majorBidi"/>
          <w:sz w:val="32"/>
          <w:szCs w:val="32"/>
        </w:rPr>
      </w:pPr>
      <w:r w:rsidRPr="00D51320">
        <w:rPr>
          <w:rStyle w:val="noprint"/>
          <w:rFonts w:cstheme="majorBidi"/>
          <w:sz w:val="32"/>
          <w:szCs w:val="32"/>
          <w:rtl/>
        </w:rPr>
        <w:t xml:space="preserve">ועיין בח"א אות י"ג דלא הזכיר שם עצה זו דשבו"י והוא כתב שם דטוב אם יכול להוציא הרצועה ולהכניסה מצד אחר כדי שתהיה היו"ד סמוך ללב אע"פ שאינו יכול להפוך הקשר של היו"ד שתהיה פניה לצד הבית ועכ"פ לא יתבטל ממצות תפילין עבור זה ויניחם כך ע"ש ור"ל אף דיהיה קשר היו"ד לצד חוץ והתפילין לצד הלב </w:t>
      </w:r>
      <w:bookmarkStart w:id="0" w:name="_GoBack"/>
      <w:bookmarkEnd w:id="0"/>
    </w:p>
    <w:sectPr w:rsidR="00EF14EE" w:rsidRPr="00D51320" w:rsidSect="00EF14EE">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D91" w:rsidRDefault="00BD2D91" w:rsidP="00EF14EE">
      <w:pPr>
        <w:spacing w:after="0" w:line="240" w:lineRule="auto"/>
      </w:pPr>
      <w:r>
        <w:separator/>
      </w:r>
    </w:p>
  </w:endnote>
  <w:endnote w:type="continuationSeparator" w:id="0">
    <w:p w:rsidR="00BD2D91" w:rsidRDefault="00BD2D91" w:rsidP="00EF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D91" w:rsidRDefault="00BD2D91" w:rsidP="00EF14EE">
      <w:pPr>
        <w:spacing w:after="0" w:line="240" w:lineRule="auto"/>
      </w:pPr>
      <w:r>
        <w:separator/>
      </w:r>
    </w:p>
  </w:footnote>
  <w:footnote w:type="continuationSeparator" w:id="0">
    <w:p w:rsidR="00BD2D91" w:rsidRDefault="00BD2D91" w:rsidP="00EF1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4EE" w:rsidRPr="00EF14EE" w:rsidRDefault="00EF14EE" w:rsidP="00EF14EE">
    <w:pPr>
      <w:pStyle w:val="Header"/>
      <w:jc w:val="center"/>
      <w:rPr>
        <w:b/>
        <w:bCs/>
      </w:rPr>
    </w:pPr>
    <w:r w:rsidRPr="00EF14EE">
      <w:rPr>
        <w:rFonts w:hint="cs"/>
        <w:b/>
        <w:bCs/>
        <w:rtl/>
      </w:rPr>
      <w:t>תפילין של יד - הקשר</w:t>
    </w:r>
  </w:p>
  <w:p w:rsidR="00EF14EE" w:rsidRDefault="00EF14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931EC"/>
    <w:multiLevelType w:val="hybridMultilevel"/>
    <w:tmpl w:val="2E54C5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4EE"/>
    <w:rsid w:val="00014F3F"/>
    <w:rsid w:val="0003727A"/>
    <w:rsid w:val="00BD2D91"/>
    <w:rsid w:val="00D51320"/>
    <w:rsid w:val="00EE0E7B"/>
    <w:rsid w:val="00EF14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4B764-8CDC-4B31-82BA-100EEBD7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3F"/>
    <w:pPr>
      <w:bidi/>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print">
    <w:name w:val="noprint"/>
    <w:basedOn w:val="DefaultParagraphFont"/>
    <w:rsid w:val="00EF14EE"/>
  </w:style>
  <w:style w:type="character" w:styleId="Hyperlink">
    <w:name w:val="Hyperlink"/>
    <w:basedOn w:val="DefaultParagraphFont"/>
    <w:uiPriority w:val="99"/>
    <w:semiHidden/>
    <w:unhideWhenUsed/>
    <w:rsid w:val="00EF14EE"/>
    <w:rPr>
      <w:color w:val="0000FF"/>
      <w:u w:val="single"/>
    </w:rPr>
  </w:style>
  <w:style w:type="paragraph" w:styleId="BalloonText">
    <w:name w:val="Balloon Text"/>
    <w:basedOn w:val="Normal"/>
    <w:link w:val="BalloonTextChar"/>
    <w:uiPriority w:val="99"/>
    <w:semiHidden/>
    <w:unhideWhenUsed/>
    <w:rsid w:val="00EF1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4EE"/>
    <w:rPr>
      <w:rFonts w:ascii="Segoe UI" w:hAnsi="Segoe UI" w:cs="Segoe UI"/>
      <w:sz w:val="18"/>
      <w:szCs w:val="18"/>
    </w:rPr>
  </w:style>
  <w:style w:type="character" w:customStyle="1" w:styleId="font000005">
    <w:name w:val="font_000005"/>
    <w:basedOn w:val="DefaultParagraphFont"/>
    <w:rsid w:val="00EF14EE"/>
  </w:style>
  <w:style w:type="paragraph" w:styleId="ListParagraph">
    <w:name w:val="List Paragraph"/>
    <w:basedOn w:val="Normal"/>
    <w:uiPriority w:val="34"/>
    <w:qFormat/>
    <w:rsid w:val="00EF14EE"/>
    <w:pPr>
      <w:ind w:left="720"/>
      <w:contextualSpacing/>
    </w:pPr>
  </w:style>
  <w:style w:type="paragraph" w:styleId="Header">
    <w:name w:val="header"/>
    <w:basedOn w:val="Normal"/>
    <w:link w:val="HeaderChar"/>
    <w:uiPriority w:val="99"/>
    <w:unhideWhenUsed/>
    <w:rsid w:val="00EF1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EE"/>
    <w:rPr>
      <w:rFonts w:asciiTheme="majorBidi" w:hAnsiTheme="majorBidi"/>
      <w:sz w:val="24"/>
    </w:rPr>
  </w:style>
  <w:style w:type="paragraph" w:styleId="Footer">
    <w:name w:val="footer"/>
    <w:basedOn w:val="Normal"/>
    <w:link w:val="FooterChar"/>
    <w:uiPriority w:val="99"/>
    <w:unhideWhenUsed/>
    <w:rsid w:val="00EF1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EE"/>
    <w:rPr>
      <w:rFonts w:asciiTheme="majorBidi" w:hAnsiTheme="majorBidi"/>
      <w:sz w:val="24"/>
    </w:rPr>
  </w:style>
  <w:style w:type="character" w:customStyle="1" w:styleId="font000002">
    <w:name w:val="font_000002"/>
    <w:basedOn w:val="DefaultParagraphFont"/>
    <w:rsid w:val="00EF14EE"/>
  </w:style>
  <w:style w:type="character" w:customStyle="1" w:styleId="font000004">
    <w:name w:val="font_000004"/>
    <w:basedOn w:val="DefaultParagraphFont"/>
    <w:rsid w:val="00EF1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2649">
      <w:bodyDiv w:val="1"/>
      <w:marLeft w:val="0"/>
      <w:marRight w:val="0"/>
      <w:marTop w:val="0"/>
      <w:marBottom w:val="0"/>
      <w:divBdr>
        <w:top w:val="none" w:sz="0" w:space="0" w:color="auto"/>
        <w:left w:val="none" w:sz="0" w:space="0" w:color="auto"/>
        <w:bottom w:val="none" w:sz="0" w:space="0" w:color="auto"/>
        <w:right w:val="none" w:sz="0" w:space="0" w:color="auto"/>
      </w:divBdr>
      <w:divsChild>
        <w:div w:id="214124914">
          <w:marLeft w:val="0"/>
          <w:marRight w:val="0"/>
          <w:marTop w:val="0"/>
          <w:marBottom w:val="0"/>
          <w:divBdr>
            <w:top w:val="none" w:sz="0" w:space="0" w:color="auto"/>
            <w:left w:val="none" w:sz="0" w:space="0" w:color="auto"/>
            <w:bottom w:val="none" w:sz="0" w:space="0" w:color="auto"/>
            <w:right w:val="none" w:sz="0" w:space="0" w:color="auto"/>
          </w:divBdr>
        </w:div>
        <w:div w:id="1013189936">
          <w:marLeft w:val="0"/>
          <w:marRight w:val="0"/>
          <w:marTop w:val="0"/>
          <w:marBottom w:val="0"/>
          <w:divBdr>
            <w:top w:val="none" w:sz="0" w:space="0" w:color="auto"/>
            <w:left w:val="none" w:sz="0" w:space="0" w:color="auto"/>
            <w:bottom w:val="none" w:sz="0" w:space="0" w:color="auto"/>
            <w:right w:val="none" w:sz="0" w:space="0" w:color="auto"/>
          </w:divBdr>
        </w:div>
        <w:div w:id="1864438159">
          <w:marLeft w:val="0"/>
          <w:marRight w:val="0"/>
          <w:marTop w:val="0"/>
          <w:marBottom w:val="0"/>
          <w:divBdr>
            <w:top w:val="none" w:sz="0" w:space="0" w:color="auto"/>
            <w:left w:val="none" w:sz="0" w:space="0" w:color="auto"/>
            <w:bottom w:val="none" w:sz="0" w:space="0" w:color="auto"/>
            <w:right w:val="none" w:sz="0" w:space="0" w:color="auto"/>
          </w:divBdr>
        </w:div>
      </w:divsChild>
    </w:div>
    <w:div w:id="1452355168">
      <w:bodyDiv w:val="1"/>
      <w:marLeft w:val="0"/>
      <w:marRight w:val="0"/>
      <w:marTop w:val="0"/>
      <w:marBottom w:val="0"/>
      <w:divBdr>
        <w:top w:val="none" w:sz="0" w:space="0" w:color="auto"/>
        <w:left w:val="none" w:sz="0" w:space="0" w:color="auto"/>
        <w:bottom w:val="none" w:sz="0" w:space="0" w:color="auto"/>
        <w:right w:val="none" w:sz="0" w:space="0" w:color="auto"/>
      </w:divBdr>
      <w:divsChild>
        <w:div w:id="2025549534">
          <w:marLeft w:val="0"/>
          <w:marRight w:val="0"/>
          <w:marTop w:val="0"/>
          <w:marBottom w:val="0"/>
          <w:divBdr>
            <w:top w:val="none" w:sz="0" w:space="0" w:color="auto"/>
            <w:left w:val="none" w:sz="0" w:space="0" w:color="auto"/>
            <w:bottom w:val="none" w:sz="0" w:space="0" w:color="auto"/>
            <w:right w:val="none" w:sz="0" w:space="0" w:color="auto"/>
          </w:divBdr>
        </w:div>
      </w:divsChild>
    </w:div>
    <w:div w:id="1553418645">
      <w:bodyDiv w:val="1"/>
      <w:marLeft w:val="0"/>
      <w:marRight w:val="0"/>
      <w:marTop w:val="0"/>
      <w:marBottom w:val="0"/>
      <w:divBdr>
        <w:top w:val="none" w:sz="0" w:space="0" w:color="auto"/>
        <w:left w:val="none" w:sz="0" w:space="0" w:color="auto"/>
        <w:bottom w:val="none" w:sz="0" w:space="0" w:color="auto"/>
        <w:right w:val="none" w:sz="0" w:space="0" w:color="auto"/>
      </w:divBdr>
      <w:divsChild>
        <w:div w:id="33582227">
          <w:marLeft w:val="0"/>
          <w:marRight w:val="0"/>
          <w:marTop w:val="0"/>
          <w:marBottom w:val="0"/>
          <w:divBdr>
            <w:top w:val="none" w:sz="0" w:space="0" w:color="auto"/>
            <w:left w:val="none" w:sz="0" w:space="0" w:color="auto"/>
            <w:bottom w:val="none" w:sz="0" w:space="0" w:color="auto"/>
            <w:right w:val="none" w:sz="0" w:space="0" w:color="auto"/>
          </w:divBdr>
        </w:div>
      </w:divsChild>
    </w:div>
    <w:div w:id="1867937307">
      <w:bodyDiv w:val="1"/>
      <w:marLeft w:val="0"/>
      <w:marRight w:val="0"/>
      <w:marTop w:val="0"/>
      <w:marBottom w:val="0"/>
      <w:divBdr>
        <w:top w:val="none" w:sz="0" w:space="0" w:color="auto"/>
        <w:left w:val="none" w:sz="0" w:space="0" w:color="auto"/>
        <w:bottom w:val="none" w:sz="0" w:space="0" w:color="auto"/>
        <w:right w:val="none" w:sz="0" w:space="0" w:color="auto"/>
      </w:divBdr>
      <w:divsChild>
        <w:div w:id="1073355747">
          <w:marLeft w:val="0"/>
          <w:marRight w:val="0"/>
          <w:marTop w:val="0"/>
          <w:marBottom w:val="0"/>
          <w:divBdr>
            <w:top w:val="none" w:sz="0" w:space="0" w:color="auto"/>
            <w:left w:val="none" w:sz="0" w:space="0" w:color="auto"/>
            <w:bottom w:val="none" w:sz="0" w:space="0" w:color="auto"/>
            <w:right w:val="none" w:sz="0" w:space="0" w:color="auto"/>
          </w:divBdr>
        </w:div>
      </w:divsChild>
    </w:div>
    <w:div w:id="2058315548">
      <w:bodyDiv w:val="1"/>
      <w:marLeft w:val="0"/>
      <w:marRight w:val="0"/>
      <w:marTop w:val="0"/>
      <w:marBottom w:val="0"/>
      <w:divBdr>
        <w:top w:val="none" w:sz="0" w:space="0" w:color="auto"/>
        <w:left w:val="none" w:sz="0" w:space="0" w:color="auto"/>
        <w:bottom w:val="none" w:sz="0" w:space="0" w:color="auto"/>
        <w:right w:val="none" w:sz="0" w:space="0" w:color="auto"/>
      </w:divBdr>
      <w:divsChild>
        <w:div w:id="75451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fireNetisLink(%22ID:0302400007900000000700000000,030290000260000000090000000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 Weiss</dc:creator>
  <cp:keywords/>
  <dc:description/>
  <cp:lastModifiedBy>Lenai Weiss</cp:lastModifiedBy>
  <cp:revision>1</cp:revision>
  <cp:lastPrinted>2016-12-25T05:58:00Z</cp:lastPrinted>
  <dcterms:created xsi:type="dcterms:W3CDTF">2016-12-25T05:37:00Z</dcterms:created>
  <dcterms:modified xsi:type="dcterms:W3CDTF">2016-12-25T05:58:00Z</dcterms:modified>
</cp:coreProperties>
</file>